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7" w:rsidRDefault="00DE06E6" w:rsidP="00C403BD">
      <w:pPr>
        <w:pStyle w:val="1"/>
      </w:pPr>
      <w:r>
        <w:fldChar w:fldCharType="begin"/>
      </w:r>
      <w:r>
        <w:instrText xml:space="preserve"> MACROBUTTON MTEditEquationSection2 </w:instrText>
      </w:r>
      <w:r w:rsidRPr="00DE06E6"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 w:rsidR="00C403BD">
        <w:t>Отчет о проделанной работе за весенний семестр 2014/2015</w:t>
      </w:r>
    </w:p>
    <w:p w:rsidR="00C403BD" w:rsidRDefault="00C403BD" w:rsidP="00C403BD">
      <w:pPr>
        <w:pStyle w:val="2"/>
      </w:pPr>
      <w:r>
        <w:t xml:space="preserve">Цель </w:t>
      </w:r>
      <w:r w:rsidRPr="00C403BD">
        <w:t>работы</w:t>
      </w:r>
    </w:p>
    <w:p w:rsidR="00C403BD" w:rsidRDefault="00C403BD" w:rsidP="00C403BD">
      <w:r>
        <w:t>Изучение подходов к моделированию систем тел с вращательными степенями свободы.</w:t>
      </w:r>
    </w:p>
    <w:p w:rsidR="00C403BD" w:rsidRDefault="00C403BD" w:rsidP="00C403BD">
      <w:pPr>
        <w:pStyle w:val="2"/>
      </w:pPr>
      <w:r>
        <w:t>Актуальность</w:t>
      </w:r>
    </w:p>
    <w:p w:rsidR="00C403BD" w:rsidRDefault="00C403BD" w:rsidP="00C403BD">
      <w:r>
        <w:t xml:space="preserve">Моделирование дискретных сред с вращательными степенями свободы является актуальной задачей, так как </w:t>
      </w:r>
      <w:r w:rsidR="005E7810">
        <w:t xml:space="preserve">большое количество процессов, протекающих в реальном </w:t>
      </w:r>
      <w:proofErr w:type="gramStart"/>
      <w:r w:rsidR="005E7810">
        <w:t>мире</w:t>
      </w:r>
      <w:proofErr w:type="gramEnd"/>
      <w:r w:rsidR="005E7810">
        <w:t xml:space="preserve"> как на молекулярном, так и на макроуровне требуют для своего описания учета таких степеней свободы.</w:t>
      </w:r>
    </w:p>
    <w:p w:rsidR="005E7810" w:rsidRDefault="005E7810" w:rsidP="005E7810">
      <w:pPr>
        <w:pStyle w:val="2"/>
      </w:pPr>
      <w:r>
        <w:t>Постановка задачи</w:t>
      </w:r>
    </w:p>
    <w:p w:rsidR="006C520B" w:rsidRPr="006C520B" w:rsidRDefault="006C520B" w:rsidP="006C520B">
      <w:r>
        <w:t>Для описания системы тел с моментным взаимодействием дополнительно вводится следующее уравнение:</w:t>
      </w:r>
    </w:p>
    <w:tbl>
      <w:tblPr>
        <w:tblStyle w:val="MTEBNumberedEquation"/>
        <w:tblW w:w="5000" w:type="pct"/>
        <w:jc w:val="center"/>
        <w:tblCellMar>
          <w:top w:w="60" w:type="dxa"/>
          <w:left w:w="0" w:type="dxa"/>
          <w:bottom w:w="6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8275"/>
        <w:gridCol w:w="540"/>
      </w:tblGrid>
      <w:tr w:rsidR="00DE06E6" w:rsidTr="00DE06E6">
        <w:trPr>
          <w:jc w:val="center"/>
        </w:trPr>
        <w:tc>
          <w:tcPr>
            <w:tcW w:w="540" w:type="dxa"/>
            <w:tcMar>
              <w:top w:w="60" w:type="dxa"/>
              <w:bottom w:w="60" w:type="dxa"/>
            </w:tcMar>
            <w:vAlign w:val="center"/>
          </w:tcPr>
          <w:p w:rsidR="00DE06E6" w:rsidRDefault="00DE06E6" w:rsidP="00DE06E6">
            <w:pPr>
              <w:rPr>
                <w:rFonts w:eastAsiaTheme="minorEastAsia"/>
                <w:iCs/>
              </w:rPr>
            </w:pPr>
          </w:p>
        </w:tc>
        <w:tc>
          <w:tcPr>
            <w:tcW w:w="8275" w:type="dxa"/>
            <w:tcMar>
              <w:top w:w="60" w:type="dxa"/>
              <w:bottom w:w="60" w:type="dxa"/>
            </w:tcMar>
            <w:vAlign w:val="center"/>
          </w:tcPr>
          <w:p w:rsidR="00DE06E6" w:rsidRDefault="00DE06E6" w:rsidP="00DE06E6">
            <w:pPr>
              <w:jc w:val="center"/>
              <w:rPr>
                <w:rFonts w:eastAsiaTheme="minorEastAsia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lang w:val="en-US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ω</m:t>
                                </m: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∙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 </m:t>
                </m:r>
                <m:nary>
                  <m:naryPr>
                    <m:chr m:val="∑"/>
                    <m:supHide m:val="1"/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j≠i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</m:t>
                            </m: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p>
                </m:sSubSup>
              </m:oMath>
            </m:oMathPara>
          </w:p>
        </w:tc>
        <w:tc>
          <w:tcPr>
            <w:tcW w:w="540" w:type="dxa"/>
            <w:tcMar>
              <w:top w:w="60" w:type="dxa"/>
              <w:bottom w:w="60" w:type="dxa"/>
            </w:tcMar>
            <w:vAlign w:val="center"/>
          </w:tcPr>
          <w:p w:rsidR="00DE06E6" w:rsidRDefault="00682A38" w:rsidP="00DE06E6">
            <w:pPr>
              <w:jc w:val="right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fldChar w:fldCharType="begin"/>
            </w:r>
            <w:r>
              <w:rPr>
                <w:rFonts w:eastAsiaTheme="minorEastAsia"/>
                <w:iCs/>
              </w:rPr>
              <w:instrText xml:space="preserve"> MACROBUTTON MTPlaceRef \* MERGEFORMAT </w:instrText>
            </w:r>
            <w:r>
              <w:rPr>
                <w:rFonts w:eastAsiaTheme="minorEastAsia"/>
                <w:iCs/>
              </w:rPr>
              <w:fldChar w:fldCharType="begin"/>
            </w:r>
            <w:r>
              <w:rPr>
                <w:rFonts w:eastAsiaTheme="minorEastAsia"/>
                <w:iCs/>
              </w:rPr>
              <w:instrText xml:space="preserve"> SEQ MTEqn \h \* MERGEFORMAT </w:instrText>
            </w:r>
            <w:r>
              <w:rPr>
                <w:rFonts w:eastAsiaTheme="minorEastAsia"/>
                <w:iCs/>
              </w:rPr>
              <w:fldChar w:fldCharType="end"/>
            </w:r>
            <w:r>
              <w:rPr>
                <w:rFonts w:eastAsiaTheme="minorEastAsia"/>
                <w:iCs/>
              </w:rPr>
              <w:fldChar w:fldCharType="end"/>
            </w:r>
          </w:p>
        </w:tc>
      </w:tr>
    </w:tbl>
    <w:p w:rsidR="006C520B" w:rsidRDefault="006C520B" w:rsidP="005E7810">
      <w:pPr>
        <w:rPr>
          <w:rFonts w:eastAsiaTheme="minorEastAsia"/>
          <w:iCs/>
        </w:rPr>
      </w:pPr>
      <w:r>
        <w:rPr>
          <w:rFonts w:eastAsiaTheme="minorEastAsia"/>
          <w:iCs/>
        </w:rPr>
        <w:t>Решение такого уравнения, например, методом Рунге-Кутты приведет к неизбежному отклонению от закона баланса кинетического момента системы. Задачей данной работы является нахождение метода моделирования, который не будет давать такого отклонения.</w:t>
      </w:r>
    </w:p>
    <w:p w:rsidR="006C520B" w:rsidRDefault="006C520B" w:rsidP="006C520B">
      <w:pPr>
        <w:pStyle w:val="2"/>
        <w:rPr>
          <w:rFonts w:eastAsiaTheme="minorEastAsia"/>
        </w:rPr>
      </w:pPr>
      <w:r>
        <w:rPr>
          <w:rFonts w:eastAsiaTheme="minorEastAsia"/>
        </w:rPr>
        <w:t>Проблематика</w:t>
      </w:r>
    </w:p>
    <w:p w:rsidR="006C520B" w:rsidRDefault="006C520B" w:rsidP="006C520B">
      <w:r>
        <w:t xml:space="preserve">Предположим, что для интегрирования поступательного движения был выбран алгоритм </w:t>
      </w:r>
      <w:r>
        <w:rPr>
          <w:lang w:val="en-US"/>
        </w:rPr>
        <w:t>leapfrog</w:t>
      </w:r>
      <w:r>
        <w:t xml:space="preserve">, тогда система уравнений для </w:t>
      </w:r>
      <w:proofErr w:type="spellStart"/>
      <w:r>
        <w:rPr>
          <w:lang w:val="en-US"/>
        </w:rPr>
        <w:t>i</w:t>
      </w:r>
      <w:proofErr w:type="spellEnd"/>
      <w:r w:rsidRPr="006C520B">
        <w:t>-</w:t>
      </w:r>
      <w:r>
        <w:t>го тела:</w:t>
      </w:r>
    </w:p>
    <w:p w:rsidR="006C520B" w:rsidRPr="006C520B" w:rsidRDefault="006C520B" w:rsidP="006C520B"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</m:eqArr>
            </m:e>
          </m:d>
        </m:oMath>
      </m:oMathPara>
    </w:p>
    <w:p w:rsidR="006C520B" w:rsidRDefault="006C520B" w:rsidP="006C520B">
      <w:r>
        <w:t>Зап</w:t>
      </w:r>
      <w:r w:rsidR="00DE06E6">
        <w:t>ишем аналогичную систему для вращательного движения:</w:t>
      </w:r>
    </w:p>
    <w:p w:rsidR="00DE06E6" w:rsidRPr="00DE06E6" w:rsidRDefault="00DE06E6" w:rsidP="00DE06E6">
      <m:oMathPara>
        <m:oMathParaPr>
          <m:jc m:val="centerGroup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φ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φ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</m:bar>
                    </m:e>
                  </m:ba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φ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i-1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</m:eqArr>
            </m:e>
          </m:d>
        </m:oMath>
      </m:oMathPara>
    </w:p>
    <w:p w:rsidR="00DE06E6" w:rsidRDefault="00DE06E6" w:rsidP="006C520B">
      <w:r>
        <w:t>Как видно</w:t>
      </w:r>
      <w:r w:rsidR="00682A38">
        <w:t xml:space="preserve"> из сравнений этих двух систем, основным различием является нелинейность системы уравнений для вращательного движения.</w:t>
      </w:r>
      <w:r w:rsidR="003266E8">
        <w:t xml:space="preserve"> Таким образом, теряется основное свойство метода </w:t>
      </w:r>
      <w:r w:rsidR="003266E8">
        <w:rPr>
          <w:lang w:val="en-US"/>
        </w:rPr>
        <w:t>leapfrog</w:t>
      </w:r>
      <w:r w:rsidR="003266E8">
        <w:t>, которое позволяет интегрировать уравнения поступательного движения без больших отклонений от корректных значений энергии.</w:t>
      </w:r>
    </w:p>
    <w:p w:rsidR="00E8138C" w:rsidRDefault="00E8138C" w:rsidP="006C520B">
      <w:r>
        <w:t xml:space="preserve">Какое же свойство позволяет методу </w:t>
      </w:r>
      <w:r>
        <w:rPr>
          <w:lang w:val="en-US"/>
        </w:rPr>
        <w:t>leapfrog</w:t>
      </w:r>
      <w:r w:rsidRPr="00E8138C">
        <w:t xml:space="preserve"> </w:t>
      </w:r>
      <w:r>
        <w:t xml:space="preserve">сохранять энергию? Это свойство называется </w:t>
      </w:r>
      <w:proofErr w:type="spellStart"/>
      <w:r>
        <w:t>симплектичностью</w:t>
      </w:r>
      <w:proofErr w:type="spellEnd"/>
      <w:r>
        <w:t xml:space="preserve"> и заключается в сохранении площади в пространстве обобщенных координат и импульса. Для одномерного случая свойство </w:t>
      </w:r>
      <w:proofErr w:type="spellStart"/>
      <w:r>
        <w:t>симплектичности</w:t>
      </w:r>
      <w:proofErr w:type="spellEnd"/>
      <w:r>
        <w:t xml:space="preserve"> наглядно можно увидеть на рисунке:</w:t>
      </w:r>
    </w:p>
    <w:p w:rsidR="00E8138C" w:rsidRDefault="00E8138C" w:rsidP="006C520B">
      <w:r w:rsidRPr="00E8138C">
        <w:lastRenderedPageBreak/>
        <w:drawing>
          <wp:inline distT="0" distB="0" distL="0" distR="0" wp14:anchorId="4A8F8F77" wp14:editId="007FABD0">
            <wp:extent cx="4943988" cy="2563344"/>
            <wp:effectExtent l="0" t="0" r="0" b="889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988" cy="256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C" w:rsidRDefault="00E8138C" w:rsidP="00E8138C">
      <w:pPr>
        <w:pStyle w:val="2"/>
      </w:pPr>
      <w:r>
        <w:t xml:space="preserve">Путь получения </w:t>
      </w:r>
      <w:proofErr w:type="spellStart"/>
      <w:r>
        <w:t>симплектического</w:t>
      </w:r>
      <w:proofErr w:type="spellEnd"/>
      <w:r>
        <w:t xml:space="preserve"> метода</w:t>
      </w:r>
    </w:p>
    <w:p w:rsidR="00E8138C" w:rsidRDefault="00E8138C" w:rsidP="00E8138C">
      <w:proofErr w:type="spellStart"/>
      <w:r>
        <w:t>Лагранжиан</w:t>
      </w:r>
      <w:proofErr w:type="spellEnd"/>
      <w:r>
        <w:t xml:space="preserve"> системы тел с вращательными степенями свободы может быть </w:t>
      </w:r>
      <w:proofErr w:type="gramStart"/>
      <w:r>
        <w:t>записан</w:t>
      </w:r>
      <w:proofErr w:type="gramEnd"/>
      <w:r>
        <w:t xml:space="preserve"> в виде:</w:t>
      </w:r>
    </w:p>
    <w:p w:rsidR="00E8138C" w:rsidRPr="00E8138C" w:rsidRDefault="00E8138C" w:rsidP="00E8138C">
      <w:pPr>
        <w:rPr>
          <w:rFonts w:eastAsiaTheme="minorEastAsia"/>
          <w:iCs/>
        </w:rPr>
      </w:pPr>
      <m:oMathPara>
        <m:oMath>
          <m:r>
            <w:rPr>
              <w:rFonts w:ascii="Cambria Math" w:hAnsi="Cambria Math"/>
              <w:lang w:val="en-US"/>
            </w:rPr>
            <m:t>L=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+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sSub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Ω</m:t>
                                  </m:r>
                                </m:e>
                              </m:ba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-</m:t>
          </m:r>
          <m:r>
            <w:rPr>
              <w:rFonts w:ascii="Cambria Math" w:hAnsi="Cambria Math"/>
              <w:lang w:val="el-GR"/>
            </w:rPr>
            <m:t>Π</m:t>
          </m:r>
          <m:r>
            <w:rPr>
              <w:rFonts w:ascii="Cambria Math" w:hAnsi="Cambria Math"/>
              <w:lang w:val="en-US"/>
            </w:rPr>
            <m:t>(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ba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,{</m:t>
          </m:r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θ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})</m:t>
          </m:r>
        </m:oMath>
      </m:oMathPara>
    </w:p>
    <w:p w:rsidR="00E8138C" w:rsidRDefault="00E8138C" w:rsidP="00E8138C">
      <w:r w:rsidRPr="00E8138C"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E8138C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l-GR"/>
                  </w:rPr>
                  <m:t>Ω</m:t>
                </m:r>
              </m:e>
            </m:ba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proofErr w:type="gramStart"/>
      <w:r w:rsidRPr="00E8138C">
        <w:t>—с</w:t>
      </w:r>
      <w:proofErr w:type="gramEnd"/>
      <w:r w:rsidRPr="00E8138C">
        <w:t xml:space="preserve">корость, угловая скорость, радиус вектор и тензор инерции. </w:t>
      </w:r>
      <m:oMath>
        <m:r>
          <w:rPr>
            <w:rFonts w:ascii="Cambria Math" w:hAnsi="Cambria Math"/>
            <w:lang w:val="el-GR"/>
          </w:rPr>
          <m:t>Π</m:t>
        </m:r>
      </m:oMath>
      <w:r w:rsidRPr="00E8138C">
        <w:t xml:space="preserve"> — потенциаль</w:t>
      </w:r>
      <w:proofErr w:type="spellStart"/>
      <w:r w:rsidRPr="00E8138C">
        <w:t>ная</w:t>
      </w:r>
      <w:proofErr w:type="spellEnd"/>
      <w:r w:rsidRPr="00E8138C">
        <w:t xml:space="preserve"> энергия,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θ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E8138C">
        <w:t xml:space="preserve"> — ориентация тела.</w:t>
      </w:r>
    </w:p>
    <w:p w:rsidR="0046632D" w:rsidRDefault="0046632D" w:rsidP="00E8138C">
      <w:r>
        <w:t>Откуда получаются уравнения поступательного движения:</w:t>
      </w:r>
    </w:p>
    <w:p w:rsidR="0046632D" w:rsidRPr="0046632D" w:rsidRDefault="0046632D" w:rsidP="0046632D">
      <m:oMathPara>
        <m:oMathParaPr>
          <m:jc m:val="centerGroup"/>
        </m:oMathParaPr>
        <m:oMath>
          <m:bar>
            <m:barPr>
              <m:ctrlPr>
                <w:rPr>
                  <w:rFonts w:ascii="Cambria Math" w:hAnsi="Cambria Math"/>
                  <w:i/>
                  <w:iCs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bar>
          <m:r>
            <w:rPr>
              <w:rFonts w:ascii="Cambria Math" w:hAnsi="Cambria Math"/>
              <w:lang w:val="en-US"/>
            </w:rPr>
            <m:t>=</m:t>
          </m:r>
          <m:bar>
            <m:bar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bar>
        </m:oMath>
      </m:oMathPara>
    </w:p>
    <w:p w:rsidR="0046632D" w:rsidRPr="0046632D" w:rsidRDefault="0046632D" w:rsidP="00E8138C">
      <w:pPr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bar>
            <m:bar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bar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acc>
            </m:e>
          </m:bar>
          <m:r>
            <w:rPr>
              <w:rFonts w:ascii="Cambria Math" w:hAnsi="Cambria Math"/>
              <w:lang w:val="en-US"/>
            </w:rPr>
            <m:t>=-∇</m:t>
          </m:r>
          <m:r>
            <w:rPr>
              <w:rFonts w:ascii="Cambria Math" w:hAnsi="Cambria Math"/>
              <w:lang w:val="el-GR"/>
            </w:rPr>
            <m:t>Π</m:t>
          </m:r>
        </m:oMath>
      </m:oMathPara>
    </w:p>
    <w:p w:rsidR="0046632D" w:rsidRDefault="0046632D" w:rsidP="00E8138C">
      <w:pPr>
        <w:rPr>
          <w:rFonts w:eastAsiaTheme="minorEastAsia"/>
          <w:iCs/>
        </w:rPr>
      </w:pPr>
      <w:r>
        <w:rPr>
          <w:rFonts w:eastAsiaTheme="minorEastAsia"/>
          <w:iCs/>
        </w:rPr>
        <w:t xml:space="preserve">Модифицированный </w:t>
      </w:r>
      <w:proofErr w:type="spellStart"/>
      <w:r>
        <w:rPr>
          <w:rFonts w:eastAsiaTheme="minorEastAsia"/>
          <w:iCs/>
        </w:rPr>
        <w:t>лагранжиан</w:t>
      </w:r>
      <w:proofErr w:type="spellEnd"/>
    </w:p>
    <w:p w:rsidR="0046632D" w:rsidRPr="0046632D" w:rsidRDefault="0046632D" w:rsidP="0046632D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L=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bP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v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Tr[</m:t>
          </m:r>
          <m:acc>
            <m:accPr>
              <m:chr m:val="̇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Q</m:t>
              </m:r>
            </m:e>
          </m:acc>
          <m:r>
            <w:rPr>
              <w:rFonts w:ascii="Cambria Math" w:hAnsi="Cambria Math"/>
              <w:lang w:val="en-US"/>
            </w:rPr>
            <m:t>∙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J∙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>]-</m:t>
          </m:r>
          <m:r>
            <w:rPr>
              <w:rFonts w:ascii="Cambria Math" w:hAnsi="Cambria Math"/>
              <w:lang w:val="el-GR"/>
            </w:rPr>
            <m:t>Π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,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Tr[</m:t>
          </m:r>
          <m:r>
            <m:rPr>
              <m:sty m:val="bi"/>
            </m:rPr>
            <w:rPr>
              <w:rFonts w:ascii="Cambria Math" w:hAnsi="Cambria Math"/>
              <w:lang w:val="el-GR"/>
            </w:rPr>
            <m:t>λ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Q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r>
            <m:rPr>
              <m:sty m:val="b"/>
            </m:rPr>
            <w:rPr>
              <w:rFonts w:ascii="Cambria Math" w:hAnsi="Cambria Math"/>
              <w:lang w:val="en-US"/>
            </w:rPr>
            <m:t>Q-1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)]</m:t>
          </m:r>
        </m:oMath>
      </m:oMathPara>
    </w:p>
    <w:p w:rsidR="0046632D" w:rsidRPr="0046632D" w:rsidRDefault="0046632D" w:rsidP="0046632D">
      <w:r w:rsidRPr="0046632D">
        <w:t xml:space="preserve">Последнее слагаемое служит для того, чтобы обеспечить ортогональность </w:t>
      </w:r>
      <m:oMath>
        <m:r>
          <m:rPr>
            <m:sty m:val="b"/>
          </m:rPr>
          <w:rPr>
            <w:rFonts w:ascii="Cambria Math" w:hAnsi="Cambria Math"/>
            <w:lang w:val="en-US"/>
          </w:rPr>
          <m:t>Q</m:t>
        </m:r>
      </m:oMath>
    </w:p>
    <w:p w:rsidR="0046632D" w:rsidRPr="0046632D" w:rsidRDefault="0046632D" w:rsidP="00E8138C">
      <w:bookmarkStart w:id="0" w:name="_GoBack"/>
      <w:bookmarkEnd w:id="0"/>
    </w:p>
    <w:p w:rsidR="00E8138C" w:rsidRPr="00E8138C" w:rsidRDefault="00E8138C" w:rsidP="00E8138C"/>
    <w:p w:rsidR="00E8138C" w:rsidRDefault="00E8138C" w:rsidP="00E8138C">
      <w:pPr>
        <w:pStyle w:val="2"/>
      </w:pPr>
      <w:r>
        <w:t>Список литературы</w:t>
      </w:r>
    </w:p>
    <w:p w:rsidR="00000000" w:rsidRPr="00E8138C" w:rsidRDefault="0046632D" w:rsidP="00E8138C">
      <w:pPr>
        <w:numPr>
          <w:ilvl w:val="0"/>
          <w:numId w:val="2"/>
        </w:numPr>
        <w:rPr>
          <w:lang w:val="en-US"/>
        </w:rPr>
      </w:pPr>
      <w:r w:rsidRPr="00E8138C">
        <w:rPr>
          <w:lang w:val="en-US"/>
        </w:rPr>
        <w:t>A. Peter Young</w:t>
      </w:r>
      <w:r w:rsidRPr="00E8138C">
        <w:rPr>
          <w:lang w:val="en-US"/>
        </w:rPr>
        <w:t xml:space="preserve"> </w:t>
      </w:r>
      <w:r w:rsidRPr="00E8138C">
        <w:rPr>
          <w:lang w:val="en-US"/>
        </w:rPr>
        <w:t>The leapfrog method and other “</w:t>
      </w:r>
      <w:proofErr w:type="spellStart"/>
      <w:r w:rsidRPr="00E8138C">
        <w:rPr>
          <w:lang w:val="en-US"/>
        </w:rPr>
        <w:t>symplectic</w:t>
      </w:r>
      <w:proofErr w:type="spellEnd"/>
      <w:r w:rsidRPr="00E8138C">
        <w:rPr>
          <w:lang w:val="en-US"/>
        </w:rPr>
        <w:t>” algorithms for integrating</w:t>
      </w:r>
      <w:r w:rsidRPr="00E8138C">
        <w:rPr>
          <w:lang w:val="en-US"/>
        </w:rPr>
        <w:t xml:space="preserve"> </w:t>
      </w:r>
      <w:r w:rsidRPr="00E8138C">
        <w:rPr>
          <w:lang w:val="en-US"/>
        </w:rPr>
        <w:t>Newton’s laws of motion</w:t>
      </w:r>
      <w:r w:rsidRPr="00E8138C">
        <w:rPr>
          <w:lang w:val="en-US"/>
        </w:rPr>
        <w:t xml:space="preserve"> // </w:t>
      </w:r>
      <w:hyperlink r:id="rId8" w:history="1">
        <w:r w:rsidRPr="00E8138C">
          <w:rPr>
            <w:rStyle w:val="a6"/>
            <w:lang w:val="en-US"/>
          </w:rPr>
          <w:t>http</w:t>
        </w:r>
      </w:hyperlink>
      <w:hyperlink r:id="rId9" w:history="1">
        <w:r w:rsidRPr="00E8138C">
          <w:rPr>
            <w:rStyle w:val="a6"/>
            <w:lang w:val="en-US"/>
          </w:rPr>
          <w:t>://</w:t>
        </w:r>
      </w:hyperlink>
      <w:hyperlink r:id="rId10" w:history="1">
        <w:r w:rsidRPr="00E8138C">
          <w:rPr>
            <w:rStyle w:val="a6"/>
            <w:lang w:val="en-US"/>
          </w:rPr>
          <w:t>young.physics.ucsc.edu</w:t>
        </w:r>
      </w:hyperlink>
      <w:r w:rsidRPr="00E8138C">
        <w:rPr>
          <w:lang w:val="en-US"/>
        </w:rPr>
        <w:t xml:space="preserve"> 21.04.14</w:t>
      </w:r>
    </w:p>
    <w:p w:rsidR="00000000" w:rsidRPr="00E8138C" w:rsidRDefault="0046632D" w:rsidP="00E8138C">
      <w:pPr>
        <w:numPr>
          <w:ilvl w:val="0"/>
          <w:numId w:val="2"/>
        </w:numPr>
        <w:rPr>
          <w:lang w:val="en-US"/>
        </w:rPr>
      </w:pPr>
      <w:r w:rsidRPr="00E8138C">
        <w:rPr>
          <w:lang w:val="en-US"/>
        </w:rPr>
        <w:t xml:space="preserve">A. </w:t>
      </w:r>
      <w:proofErr w:type="spellStart"/>
      <w:r w:rsidRPr="00E8138C">
        <w:rPr>
          <w:lang w:val="en-US"/>
        </w:rPr>
        <w:t>Dullweber</w:t>
      </w:r>
      <w:proofErr w:type="spellEnd"/>
      <w:r w:rsidRPr="00E8138C">
        <w:rPr>
          <w:lang w:val="en-US"/>
        </w:rPr>
        <w:t xml:space="preserve">, B. </w:t>
      </w:r>
      <w:proofErr w:type="spellStart"/>
      <w:r w:rsidRPr="00E8138C">
        <w:rPr>
          <w:lang w:val="en-US"/>
        </w:rPr>
        <w:t>Leimkuhler</w:t>
      </w:r>
      <w:proofErr w:type="spellEnd"/>
      <w:r w:rsidRPr="00E8138C">
        <w:rPr>
          <w:lang w:val="en-US"/>
        </w:rPr>
        <w:t xml:space="preserve">, R. McLachlan </w:t>
      </w:r>
      <w:proofErr w:type="spellStart"/>
      <w:r w:rsidRPr="00E8138C">
        <w:rPr>
          <w:lang w:val="en-US"/>
        </w:rPr>
        <w:t>Symplectic</w:t>
      </w:r>
      <w:proofErr w:type="spellEnd"/>
      <w:r w:rsidRPr="00E8138C">
        <w:rPr>
          <w:lang w:val="en-US"/>
        </w:rPr>
        <w:t xml:space="preserve"> splitting methods for rigid body molecular dynamics</w:t>
      </w:r>
    </w:p>
    <w:p w:rsidR="00000000" w:rsidRPr="00E8138C" w:rsidRDefault="0046632D" w:rsidP="00E8138C">
      <w:pPr>
        <w:numPr>
          <w:ilvl w:val="0"/>
          <w:numId w:val="2"/>
        </w:numPr>
        <w:rPr>
          <w:lang w:val="en-US"/>
        </w:rPr>
      </w:pPr>
      <w:r w:rsidRPr="00E8138C">
        <w:rPr>
          <w:lang w:val="en-US"/>
        </w:rPr>
        <w:t xml:space="preserve">Y Kajima, </w:t>
      </w:r>
      <w:proofErr w:type="spellStart"/>
      <w:r w:rsidRPr="00E8138C">
        <w:rPr>
          <w:lang w:val="en-US"/>
        </w:rPr>
        <w:t>M.Hiyama</w:t>
      </w:r>
      <w:proofErr w:type="spellEnd"/>
      <w:r w:rsidRPr="00E8138C">
        <w:rPr>
          <w:lang w:val="en-US"/>
        </w:rPr>
        <w:t>, S. Ogata, T. Tamura  Exactly Time-Reversible Molecular Dynamics Algorithm for Rigid-Body Systems // Journal of th</w:t>
      </w:r>
      <w:r w:rsidRPr="00E8138C">
        <w:rPr>
          <w:lang w:val="en-US"/>
        </w:rPr>
        <w:t>e Physical Society of Japan 80 (2011)</w:t>
      </w:r>
    </w:p>
    <w:p w:rsidR="00000000" w:rsidRPr="00E8138C" w:rsidRDefault="0046632D" w:rsidP="00E8138C">
      <w:pPr>
        <w:numPr>
          <w:ilvl w:val="0"/>
          <w:numId w:val="2"/>
        </w:numPr>
      </w:pPr>
      <w:r w:rsidRPr="00E8138C">
        <w:lastRenderedPageBreak/>
        <w:t xml:space="preserve">В.В. Мараев Е.Н. </w:t>
      </w:r>
      <w:proofErr w:type="spellStart"/>
      <w:r w:rsidRPr="00E8138C">
        <w:t>Станкова</w:t>
      </w:r>
      <w:proofErr w:type="spellEnd"/>
      <w:r w:rsidRPr="00E8138C">
        <w:t xml:space="preserve"> Основы методов конечных разностей // СПб</w:t>
      </w:r>
      <w:proofErr w:type="gramStart"/>
      <w:r w:rsidRPr="00E8138C">
        <w:t xml:space="preserve">.: </w:t>
      </w:r>
      <w:proofErr w:type="gramEnd"/>
      <w:r w:rsidRPr="00E8138C">
        <w:t>Изд-во С.-</w:t>
      </w:r>
      <w:proofErr w:type="spellStart"/>
      <w:r w:rsidRPr="00E8138C">
        <w:t>Петерб</w:t>
      </w:r>
      <w:proofErr w:type="spellEnd"/>
      <w:r w:rsidRPr="00E8138C">
        <w:t xml:space="preserve"> ун-та, 2012</w:t>
      </w:r>
    </w:p>
    <w:p w:rsidR="00000000" w:rsidRPr="00E8138C" w:rsidRDefault="0046632D" w:rsidP="00E8138C">
      <w:pPr>
        <w:numPr>
          <w:ilvl w:val="0"/>
          <w:numId w:val="2"/>
        </w:numPr>
        <w:rPr>
          <w:lang w:val="en-US"/>
        </w:rPr>
      </w:pPr>
      <w:r w:rsidRPr="00E8138C">
        <w:rPr>
          <w:lang w:val="en-US"/>
        </w:rPr>
        <w:t xml:space="preserve">A </w:t>
      </w:r>
      <w:proofErr w:type="spellStart"/>
      <w:r w:rsidRPr="00E8138C">
        <w:rPr>
          <w:lang w:val="en-US"/>
        </w:rPr>
        <w:t>symplectic</w:t>
      </w:r>
      <w:proofErr w:type="spellEnd"/>
      <w:r w:rsidRPr="00E8138C">
        <w:rPr>
          <w:lang w:val="en-US"/>
        </w:rPr>
        <w:t xml:space="preserve"> method for rigid-body molecular simulation // Ayla </w:t>
      </w:r>
      <w:proofErr w:type="spellStart"/>
      <w:r w:rsidRPr="00E8138C">
        <w:rPr>
          <w:lang w:val="en-US"/>
        </w:rPr>
        <w:t>Kol</w:t>
      </w:r>
      <w:proofErr w:type="spellEnd"/>
      <w:r w:rsidRPr="00E8138C">
        <w:rPr>
          <w:lang w:val="en-US"/>
        </w:rPr>
        <w:t xml:space="preserve">, Brian B. Laird, Benedict J. </w:t>
      </w:r>
      <w:proofErr w:type="spellStart"/>
      <w:r w:rsidRPr="00E8138C">
        <w:rPr>
          <w:lang w:val="en-US"/>
        </w:rPr>
        <w:t>Leimkuhler</w:t>
      </w:r>
      <w:proofErr w:type="spellEnd"/>
    </w:p>
    <w:p w:rsidR="00E8138C" w:rsidRPr="00E8138C" w:rsidRDefault="00E8138C" w:rsidP="00E8138C">
      <w:pPr>
        <w:rPr>
          <w:lang w:val="en-US"/>
        </w:rPr>
      </w:pPr>
    </w:p>
    <w:sectPr w:rsidR="00E8138C" w:rsidRPr="00E8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45E"/>
    <w:multiLevelType w:val="hybridMultilevel"/>
    <w:tmpl w:val="33746F84"/>
    <w:lvl w:ilvl="0" w:tplc="8490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6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88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A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3D336B"/>
    <w:multiLevelType w:val="hybridMultilevel"/>
    <w:tmpl w:val="C0089440"/>
    <w:lvl w:ilvl="0" w:tplc="C2B2BDD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BD"/>
    <w:rsid w:val="003266E8"/>
    <w:rsid w:val="0046632D"/>
    <w:rsid w:val="00533D20"/>
    <w:rsid w:val="005E7810"/>
    <w:rsid w:val="00682A38"/>
    <w:rsid w:val="006C520B"/>
    <w:rsid w:val="00BE2DF7"/>
    <w:rsid w:val="00C403BD"/>
    <w:rsid w:val="00DE06E6"/>
    <w:rsid w:val="00E8138C"/>
  </w:rsids>
  <m:mathPr>
    <m:mathFont m:val="Cambria Math"/>
    <m:brkBin m:val="before"/>
    <m:brkBinSub m:val="--"/>
    <m:smallFrac m:val="0"/>
    <m:dispDef/>
    <m:lMargin m:val="54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3BD"/>
    <w:pPr>
      <w:keepNext/>
      <w:keepLines/>
      <w:numPr>
        <w:numId w:val="1"/>
      </w:numPr>
      <w:spacing w:before="200" w:after="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10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a0"/>
    <w:rsid w:val="00DE06E6"/>
    <w:rPr>
      <w:vanish/>
      <w:color w:val="FF0000"/>
    </w:rPr>
  </w:style>
  <w:style w:type="table" w:customStyle="1" w:styleId="MTEBNumberedEquation">
    <w:name w:val="MTEBNumberedEquation"/>
    <w:basedOn w:val="a1"/>
    <w:rsid w:val="00DE06E6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table" w:styleId="a5">
    <w:name w:val="Table Grid"/>
    <w:basedOn w:val="a1"/>
    <w:uiPriority w:val="59"/>
    <w:rsid w:val="00D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1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3BD"/>
    <w:pPr>
      <w:keepNext/>
      <w:keepLines/>
      <w:numPr>
        <w:numId w:val="1"/>
      </w:numPr>
      <w:spacing w:before="200" w:after="0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810"/>
    <w:rPr>
      <w:rFonts w:ascii="Tahoma" w:hAnsi="Tahoma" w:cs="Tahoma"/>
      <w:sz w:val="16"/>
      <w:szCs w:val="16"/>
    </w:rPr>
  </w:style>
  <w:style w:type="character" w:customStyle="1" w:styleId="MTEquationSection">
    <w:name w:val="MTEquationSection"/>
    <w:basedOn w:val="a0"/>
    <w:rsid w:val="00DE06E6"/>
    <w:rPr>
      <w:vanish/>
      <w:color w:val="FF0000"/>
    </w:rPr>
  </w:style>
  <w:style w:type="table" w:customStyle="1" w:styleId="MTEBNumberedEquation">
    <w:name w:val="MTEBNumberedEquation"/>
    <w:basedOn w:val="a1"/>
    <w:rsid w:val="00DE06E6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table" w:styleId="a5">
    <w:name w:val="Table Grid"/>
    <w:basedOn w:val="a1"/>
    <w:uiPriority w:val="59"/>
    <w:rsid w:val="00D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8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.physics.ucsc.ed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oung.physics.ucsc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ng.physics.ucsc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2018-869E-44A8-9552-E0BC74BD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2015-06-08T17:59:00Z</dcterms:created>
  <dcterms:modified xsi:type="dcterms:W3CDTF">2015-06-07T19:04:00Z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(#S1.#E1)</vt:lpwstr>
  </property>
  <property fmtid="{D5CDD505-2E9C-101B-9397-08002B2CF9AE}" pid="4" name="MTEqnNumsOnRight">
    <vt:bool>false</vt:bool>
  </property>
</Properties>
</file>