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CF" w:rsidRPr="002D19CF" w:rsidRDefault="002D19CF" w:rsidP="002D19CF">
      <w:pPr>
        <w:widowControl w:val="0"/>
        <w:spacing w:before="24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D19CF" w:rsidRDefault="002D19CF" w:rsidP="002D19CF">
      <w:pPr>
        <w:widowControl w:val="0"/>
        <w:spacing w:line="36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515823374"/>
      <w:bookmarkStart w:id="1" w:name="_Toc515808891"/>
      <w:bookmarkStart w:id="2" w:name="_Toc515808862"/>
      <w:bookmarkStart w:id="3" w:name="_Toc515804796"/>
      <w:bookmarkStart w:id="4" w:name="_Toc515726556"/>
      <w:bookmarkStart w:id="5" w:name="_Toc515724023"/>
      <w:bookmarkStart w:id="6" w:name="_Toc515706086"/>
      <w:bookmarkStart w:id="7" w:name="_Toc515705999"/>
      <w:bookmarkStart w:id="8" w:name="_Toc515522964"/>
      <w:bookmarkStart w:id="9" w:name="_Toc515522626"/>
      <w:bookmarkStart w:id="10" w:name="_Toc515519810"/>
      <w:bookmarkStart w:id="11" w:name="_Toc515518412"/>
      <w:bookmarkStart w:id="12" w:name="_Toc515517679"/>
      <w:bookmarkStart w:id="13" w:name="_Toc515517322"/>
      <w:bookmarkStart w:id="14" w:name="_Toc515516777"/>
      <w:r>
        <w:rPr>
          <w:rFonts w:ascii="Times New Roman" w:hAnsi="Times New Roman" w:cs="Times New Roman"/>
          <w:sz w:val="28"/>
          <w:szCs w:val="28"/>
        </w:rPr>
        <w:t>На 4</w:t>
      </w:r>
      <w:r w:rsidR="00580D95" w:rsidRPr="00580D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с., 25 рисунков, 7 таблиц, 1 приложение.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2D19CF" w:rsidRDefault="002D19CF" w:rsidP="002D19CF">
      <w:pPr>
        <w:widowControl w:val="0"/>
        <w:spacing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ГЕОМЕХАНИКА, МНОГОСТВОЛЬНЫЕ СКВАЖИНЫ, FISHBONE, ПРОЧНОСТЬ СТЕНОК СКВАЖИНЫ, КОНЕЧНО-ЭЛЕМЕНТНОЕ МОДЕЛИРОВАНИЕ, МЕСТО СОЕДИНЕНИЯ СТВОЛОВ МНОГОСТВОЛЬНОЙ СКВАЖИНЫ, ПЛОТНОСТЬ БУРОВОГО РАСТВОРА</w:t>
      </w:r>
    </w:p>
    <w:p w:rsidR="002D19CF" w:rsidRDefault="002D19CF" w:rsidP="002D19CF">
      <w:pPr>
        <w:widowControl w:val="0"/>
        <w:spacing w:line="360" w:lineRule="auto"/>
        <w:ind w:right="-5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В работе предложен один из способов для определения интервалов срезок боковых стволов скважин с подбором оптимальной плотности бурового раствора. Данные интервалы являются наименее прочными при бурении многоствольных скважин типа “</w:t>
      </w:r>
      <w:r>
        <w:rPr>
          <w:rFonts w:ascii="Times New Roman" w:eastAsia="PMingLiU" w:hAnsi="Times New Roman" w:cs="Times New Roman"/>
          <w:sz w:val="28"/>
          <w:szCs w:val="28"/>
          <w:lang w:val="en-US"/>
        </w:rPr>
        <w:t>fishbone</w:t>
      </w:r>
      <w:r>
        <w:rPr>
          <w:rFonts w:ascii="Times New Roman" w:eastAsia="PMingLiU" w:hAnsi="Times New Roman" w:cs="Times New Roman"/>
          <w:sz w:val="28"/>
          <w:szCs w:val="28"/>
        </w:rPr>
        <w:t>”. Используя метод конечных элементов были рассмотрены интервалы проведения срезок в различных породах, при разных плотностях бурового раствора.</w:t>
      </w:r>
    </w:p>
    <w:p w:rsidR="002D19CF" w:rsidRDefault="002D19CF" w:rsidP="002D19CF">
      <w:pPr>
        <w:widowControl w:val="0"/>
        <w:spacing w:before="240" w:after="6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ABSTRACT</w:t>
      </w:r>
    </w:p>
    <w:p w:rsidR="002D19CF" w:rsidRDefault="002D19CF" w:rsidP="002D19CF">
      <w:pPr>
        <w:widowControl w:val="0"/>
        <w:spacing w:before="24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80D95">
        <w:rPr>
          <w:rFonts w:ascii="Times New Roman" w:hAnsi="Times New Roman" w:cs="Times New Roman"/>
          <w:sz w:val="28"/>
          <w:szCs w:val="28"/>
          <w:lang w:val="en-US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pages, 25 pictures, 7 tables, 1 applications</w:t>
      </w:r>
    </w:p>
    <w:p w:rsidR="002D19CF" w:rsidRDefault="002D19CF" w:rsidP="002D19CF">
      <w:pPr>
        <w:widowControl w:val="0"/>
        <w:spacing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GEOMECHANICS, MULTI-LATERAL WELLS, FISHBONE, WELLBORE STABILITY, FINITE-ELEMENT MODELING, MULTILATERAL JUNCTION, MUD WEIGHT DENSITY</w:t>
      </w:r>
    </w:p>
    <w:p w:rsidR="002D19CF" w:rsidRDefault="002D19CF" w:rsidP="00580D95">
      <w:pPr>
        <w:widowControl w:val="0"/>
        <w:spacing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this paper, one of the methods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considered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determining the optimum intervals for carrying out slices of sidetrack wells with the selection of the optimal mud density. These intervals are the least stable when drilling multi-lateral wells such as fishbone. Using finite-element method this intervals o</w:t>
      </w:r>
      <w:bookmarkStart w:id="15" w:name="_GoBack"/>
      <w:bookmarkEnd w:id="15"/>
      <w:r>
        <w:rPr>
          <w:rFonts w:ascii="Times New Roman" w:hAnsi="Times New Roman" w:cs="Times New Roman"/>
          <w:sz w:val="28"/>
          <w:szCs w:val="28"/>
          <w:lang w:val="en-US"/>
        </w:rPr>
        <w:t xml:space="preserve">f cutting in different rocks at different mud densities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considered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0ED" w:rsidRPr="002D19CF" w:rsidRDefault="00B000ED">
      <w:pPr>
        <w:rPr>
          <w:lang w:val="en-US"/>
        </w:rPr>
      </w:pPr>
    </w:p>
    <w:sectPr w:rsidR="00B000ED" w:rsidRPr="002D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6"/>
    <w:rsid w:val="002D19CF"/>
    <w:rsid w:val="00340746"/>
    <w:rsid w:val="00454FB6"/>
    <w:rsid w:val="004E4499"/>
    <w:rsid w:val="00580D95"/>
    <w:rsid w:val="00B000ED"/>
    <w:rsid w:val="00F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E912C-2362-44AF-98CE-875E94E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Габитов Салават</dc:creator>
  <cp:keywords/>
  <dc:description/>
  <cp:lastModifiedBy>Olga S. Loboda</cp:lastModifiedBy>
  <cp:revision>5</cp:revision>
  <dcterms:created xsi:type="dcterms:W3CDTF">2018-06-13T06:38:00Z</dcterms:created>
  <dcterms:modified xsi:type="dcterms:W3CDTF">2018-06-14T09:43:00Z</dcterms:modified>
</cp:coreProperties>
</file>